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C0" w:rsidRDefault="00D92CC0" w:rsidP="00D92CC0">
      <w:pPr>
        <w:rPr>
          <w:b/>
          <w:color w:val="1F4E79" w:themeColor="accent1" w:themeShade="80"/>
          <w:sz w:val="28"/>
          <w:szCs w:val="28"/>
        </w:rPr>
      </w:pPr>
      <w:r w:rsidRPr="00D92CC0">
        <w:rPr>
          <w:b/>
          <w:color w:val="1F4E79" w:themeColor="accent1" w:themeShade="80"/>
          <w:sz w:val="28"/>
          <w:szCs w:val="28"/>
        </w:rPr>
        <w:t>Guidance Document: Isolation of Residents in Long-term Care Who are Living with Dementia</w:t>
      </w:r>
      <w:r>
        <w:rPr>
          <w:b/>
          <w:color w:val="1F4E79" w:themeColor="accent1" w:themeShade="80"/>
          <w:sz w:val="28"/>
          <w:szCs w:val="28"/>
        </w:rPr>
        <w:t xml:space="preserve"> </w:t>
      </w:r>
    </w:p>
    <w:p w:rsidR="00D92CC0" w:rsidRDefault="00D92CC0" w:rsidP="00D92CC0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Background:</w:t>
      </w:r>
    </w:p>
    <w:p w:rsidR="00D92CC0" w:rsidRPr="00D92CC0" w:rsidRDefault="00D92CC0" w:rsidP="00D92CC0">
      <w:pPr>
        <w:rPr>
          <w:b/>
          <w:color w:val="1F4E79" w:themeColor="accent1" w:themeShade="80"/>
          <w:sz w:val="28"/>
          <w:szCs w:val="28"/>
        </w:rPr>
      </w:pPr>
      <w:r w:rsidRPr="00D92CC0">
        <w:rPr>
          <w:color w:val="1F4E79" w:themeColor="accent1" w:themeShade="80"/>
          <w:sz w:val="24"/>
          <w:szCs w:val="24"/>
        </w:rPr>
        <w:t>Many residents of LTC are unable to adhere to isolation requirements when symptomatic or COVID19 positive. The factors that will contribute to solutions include:</w:t>
      </w:r>
    </w:p>
    <w:p w:rsidR="00D92CC0" w:rsidRPr="00D92CC0" w:rsidRDefault="00D92CC0" w:rsidP="00D92CC0">
      <w:pPr>
        <w:pStyle w:val="ListParagraph"/>
        <w:numPr>
          <w:ilvl w:val="0"/>
          <w:numId w:val="12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The actual and current behaviours of the individual resident</w:t>
      </w:r>
      <w:r w:rsidR="00B5135A">
        <w:rPr>
          <w:color w:val="1F4E79" w:themeColor="accent1" w:themeShade="80"/>
          <w:sz w:val="24"/>
          <w:szCs w:val="24"/>
        </w:rPr>
        <w:t>.</w:t>
      </w:r>
      <w:bookmarkStart w:id="0" w:name="_GoBack"/>
      <w:bookmarkEnd w:id="0"/>
    </w:p>
    <w:p w:rsidR="00D92CC0" w:rsidRPr="00D92CC0" w:rsidRDefault="00D92CC0" w:rsidP="00D92CC0">
      <w:pPr>
        <w:pStyle w:val="ListParagraph"/>
        <w:numPr>
          <w:ilvl w:val="0"/>
          <w:numId w:val="12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The physical environment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Default="00D92CC0" w:rsidP="00D92CC0">
      <w:pPr>
        <w:pStyle w:val="ListParagraph"/>
        <w:numPr>
          <w:ilvl w:val="0"/>
          <w:numId w:val="12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The human resources available at the times of day needed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spacing w:after="200" w:line="276" w:lineRule="auto"/>
        <w:rPr>
          <w:b/>
          <w:color w:val="1F4E79" w:themeColor="accent1" w:themeShade="80"/>
          <w:sz w:val="28"/>
          <w:szCs w:val="28"/>
        </w:rPr>
      </w:pPr>
      <w:r w:rsidRPr="00D92CC0">
        <w:rPr>
          <w:b/>
          <w:color w:val="1F4E79" w:themeColor="accent1" w:themeShade="80"/>
          <w:sz w:val="28"/>
          <w:szCs w:val="28"/>
        </w:rPr>
        <w:t>Key stakeholders:</w:t>
      </w:r>
    </w:p>
    <w:p w:rsidR="00D92CC0" w:rsidRPr="00B5135A" w:rsidRDefault="00D92CC0" w:rsidP="00D92CC0">
      <w:pPr>
        <w:pStyle w:val="ListParagraph"/>
        <w:numPr>
          <w:ilvl w:val="0"/>
          <w:numId w:val="11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B5135A">
        <w:rPr>
          <w:color w:val="1F4E79" w:themeColor="accent1" w:themeShade="80"/>
          <w:sz w:val="24"/>
          <w:szCs w:val="24"/>
        </w:rPr>
        <w:t>Care providers and support staff working within the home</w:t>
      </w:r>
      <w:r w:rsidR="00B5135A" w:rsidRPr="00B5135A">
        <w:rPr>
          <w:color w:val="1F4E79" w:themeColor="accent1" w:themeShade="80"/>
          <w:sz w:val="24"/>
          <w:szCs w:val="24"/>
        </w:rPr>
        <w:t>.</w:t>
      </w:r>
    </w:p>
    <w:p w:rsidR="00D92CC0" w:rsidRPr="00B5135A" w:rsidRDefault="00D92CC0" w:rsidP="00D92CC0">
      <w:pPr>
        <w:pStyle w:val="ListParagraph"/>
        <w:numPr>
          <w:ilvl w:val="0"/>
          <w:numId w:val="11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B5135A">
        <w:rPr>
          <w:color w:val="1F4E79" w:themeColor="accent1" w:themeShade="80"/>
          <w:sz w:val="24"/>
          <w:szCs w:val="24"/>
        </w:rPr>
        <w:t>Community of all residents living in the home</w:t>
      </w:r>
      <w:r w:rsidR="00B5135A" w:rsidRPr="00B5135A">
        <w:rPr>
          <w:color w:val="1F4E79" w:themeColor="accent1" w:themeShade="80"/>
          <w:sz w:val="24"/>
          <w:szCs w:val="24"/>
        </w:rPr>
        <w:t>.</w:t>
      </w:r>
    </w:p>
    <w:p w:rsidR="00D92CC0" w:rsidRPr="00B5135A" w:rsidRDefault="00D92CC0" w:rsidP="00D92CC0">
      <w:pPr>
        <w:pStyle w:val="ListParagraph"/>
        <w:numPr>
          <w:ilvl w:val="0"/>
          <w:numId w:val="11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B5135A">
        <w:rPr>
          <w:color w:val="1F4E79" w:themeColor="accent1" w:themeShade="80"/>
          <w:sz w:val="24"/>
          <w:szCs w:val="24"/>
        </w:rPr>
        <w:t>Individual resident and their family/ substitute decision maker</w:t>
      </w:r>
      <w:r w:rsidR="00B5135A" w:rsidRPr="00B5135A">
        <w:rPr>
          <w:color w:val="1F4E79" w:themeColor="accent1" w:themeShade="80"/>
          <w:sz w:val="24"/>
          <w:szCs w:val="24"/>
        </w:rPr>
        <w:t>.</w:t>
      </w:r>
    </w:p>
    <w:p w:rsidR="00D92CC0" w:rsidRPr="00B5135A" w:rsidRDefault="00D92CC0" w:rsidP="00D92CC0">
      <w:pPr>
        <w:pStyle w:val="ListParagraph"/>
        <w:numPr>
          <w:ilvl w:val="0"/>
          <w:numId w:val="11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B5135A">
        <w:rPr>
          <w:color w:val="1F4E79" w:themeColor="accent1" w:themeShade="80"/>
          <w:sz w:val="24"/>
          <w:szCs w:val="24"/>
        </w:rPr>
        <w:t>Physician</w:t>
      </w:r>
      <w:r w:rsidR="00B5135A" w:rsidRPr="00B5135A">
        <w:rPr>
          <w:color w:val="1F4E79" w:themeColor="accent1" w:themeShade="80"/>
          <w:sz w:val="24"/>
          <w:szCs w:val="24"/>
        </w:rPr>
        <w:t>.</w:t>
      </w:r>
    </w:p>
    <w:p w:rsidR="00D92CC0" w:rsidRPr="00B5135A" w:rsidRDefault="00D92CC0" w:rsidP="00D92CC0">
      <w:pPr>
        <w:pStyle w:val="ListParagraph"/>
        <w:numPr>
          <w:ilvl w:val="0"/>
          <w:numId w:val="11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B5135A">
        <w:rPr>
          <w:color w:val="1F4E79" w:themeColor="accent1" w:themeShade="80"/>
          <w:sz w:val="24"/>
          <w:szCs w:val="24"/>
        </w:rPr>
        <w:t>Organization leadership</w:t>
      </w:r>
      <w:r w:rsidR="00B5135A" w:rsidRP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spacing w:after="200" w:line="276" w:lineRule="auto"/>
        <w:rPr>
          <w:b/>
          <w:color w:val="1F4E79" w:themeColor="accent1" w:themeShade="80"/>
          <w:sz w:val="28"/>
          <w:szCs w:val="28"/>
        </w:rPr>
      </w:pPr>
      <w:r w:rsidRPr="00D92CC0">
        <w:rPr>
          <w:b/>
          <w:color w:val="1F4E79" w:themeColor="accent1" w:themeShade="80"/>
          <w:sz w:val="28"/>
          <w:szCs w:val="28"/>
        </w:rPr>
        <w:t>Competing Values (not ranked)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6"/>
        <w:gridCol w:w="4033"/>
        <w:gridCol w:w="2097"/>
      </w:tblGrid>
      <w:tr w:rsidR="00D92CC0" w:rsidRPr="00D92CC0" w:rsidTr="00D92CC0">
        <w:tc>
          <w:tcPr>
            <w:tcW w:w="1799" w:type="pct"/>
          </w:tcPr>
          <w:p w:rsidR="00D92CC0" w:rsidRPr="00D92CC0" w:rsidRDefault="00D92CC0" w:rsidP="00D92CC0">
            <w:pPr>
              <w:jc w:val="center"/>
              <w:rPr>
                <w:b/>
                <w:color w:val="1F4E79" w:themeColor="accent1" w:themeShade="80"/>
                <w:szCs w:val="24"/>
              </w:rPr>
            </w:pPr>
            <w:r w:rsidRPr="00D92CC0">
              <w:rPr>
                <w:b/>
                <w:color w:val="1F4E79" w:themeColor="accent1" w:themeShade="80"/>
                <w:szCs w:val="24"/>
              </w:rPr>
              <w:t>Public Health During a Pandemic</w:t>
            </w:r>
          </w:p>
        </w:tc>
        <w:tc>
          <w:tcPr>
            <w:tcW w:w="2106" w:type="pct"/>
          </w:tcPr>
          <w:p w:rsidR="00D92CC0" w:rsidRPr="00D92CC0" w:rsidRDefault="00D92CC0" w:rsidP="00D92CC0">
            <w:pPr>
              <w:jc w:val="center"/>
              <w:rPr>
                <w:b/>
                <w:color w:val="1F4E79" w:themeColor="accent1" w:themeShade="80"/>
                <w:szCs w:val="24"/>
              </w:rPr>
            </w:pPr>
            <w:r w:rsidRPr="00D92CC0">
              <w:rPr>
                <w:b/>
                <w:color w:val="1F4E79" w:themeColor="accent1" w:themeShade="80"/>
                <w:szCs w:val="24"/>
              </w:rPr>
              <w:t>Dementia Care</w:t>
            </w:r>
          </w:p>
          <w:p w:rsidR="00D92CC0" w:rsidRPr="00D92CC0" w:rsidRDefault="00D92CC0" w:rsidP="00D92CC0">
            <w:pPr>
              <w:jc w:val="center"/>
              <w:rPr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1095" w:type="pct"/>
          </w:tcPr>
          <w:p w:rsidR="00D92CC0" w:rsidRPr="00D92CC0" w:rsidRDefault="00D92CC0" w:rsidP="00D92CC0">
            <w:pPr>
              <w:jc w:val="center"/>
              <w:rPr>
                <w:b/>
                <w:color w:val="1F4E79" w:themeColor="accent1" w:themeShade="80"/>
                <w:szCs w:val="24"/>
              </w:rPr>
            </w:pPr>
            <w:r w:rsidRPr="00D92CC0">
              <w:rPr>
                <w:b/>
                <w:color w:val="1F4E79" w:themeColor="accent1" w:themeShade="80"/>
                <w:szCs w:val="24"/>
              </w:rPr>
              <w:t>Infection Prevention and Control</w:t>
            </w:r>
          </w:p>
        </w:tc>
      </w:tr>
      <w:tr w:rsidR="00D92CC0" w:rsidRPr="00D92CC0" w:rsidTr="00D92CC0">
        <w:tc>
          <w:tcPr>
            <w:tcW w:w="1799" w:type="pct"/>
          </w:tcPr>
          <w:p w:rsidR="00D92CC0" w:rsidRPr="00D92CC0" w:rsidRDefault="00D92CC0" w:rsidP="00D92CC0">
            <w:pPr>
              <w:pStyle w:val="ListParagraph"/>
              <w:numPr>
                <w:ilvl w:val="0"/>
                <w:numId w:val="9"/>
              </w:numPr>
              <w:ind w:left="36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 xml:space="preserve">Respect 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9"/>
              </w:numPr>
              <w:ind w:left="360"/>
              <w:rPr>
                <w:color w:val="1F4E79" w:themeColor="accent1" w:themeShade="80"/>
                <w:szCs w:val="24"/>
                <w:highlight w:val="yellow"/>
              </w:rPr>
            </w:pPr>
            <w:r w:rsidRPr="00D92CC0">
              <w:rPr>
                <w:color w:val="1F4E79" w:themeColor="accent1" w:themeShade="80"/>
                <w:szCs w:val="24"/>
                <w:highlight w:val="yellow"/>
              </w:rPr>
              <w:t>Protection from harm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Fairness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  <w:highlight w:val="yellow"/>
              </w:rPr>
            </w:pPr>
            <w:r w:rsidRPr="00D92CC0">
              <w:rPr>
                <w:color w:val="1F4E79" w:themeColor="accent1" w:themeShade="80"/>
                <w:szCs w:val="24"/>
                <w:highlight w:val="yellow"/>
              </w:rPr>
              <w:t>Least coercive and restrictive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Working together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Reciprocity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Proportionality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Flexibility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0"/>
              </w:numPr>
              <w:ind w:left="360"/>
              <w:rPr>
                <w:color w:val="1F4E79" w:themeColor="accent1" w:themeShade="80"/>
                <w:szCs w:val="24"/>
                <w:highlight w:val="yellow"/>
              </w:rPr>
            </w:pPr>
            <w:r w:rsidRPr="00D92CC0">
              <w:rPr>
                <w:color w:val="1F4E79" w:themeColor="accent1" w:themeShade="80"/>
                <w:szCs w:val="24"/>
                <w:highlight w:val="yellow"/>
              </w:rPr>
              <w:t>Procedural justice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0"/>
              </w:numPr>
              <w:ind w:left="108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Openness and transparency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0"/>
              </w:numPr>
              <w:ind w:left="108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Inclusiveness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0"/>
              </w:numPr>
              <w:ind w:left="108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Accountability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0"/>
              </w:numPr>
              <w:ind w:left="1080"/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 xml:space="preserve">Reasonableness </w:t>
            </w:r>
          </w:p>
        </w:tc>
        <w:tc>
          <w:tcPr>
            <w:tcW w:w="2106" w:type="pct"/>
          </w:tcPr>
          <w:p w:rsidR="00D92CC0" w:rsidRPr="00D92CC0" w:rsidRDefault="00D92CC0" w:rsidP="00D92CC0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Person centred: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Individualized care guidelines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Respect (includes autonomy)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 xml:space="preserve">Least coercive and restrictive </w:t>
            </w:r>
          </w:p>
          <w:p w:rsidR="00D92CC0" w:rsidRPr="00D92CC0" w:rsidRDefault="00D92CC0" w:rsidP="00D92CC0">
            <w:pPr>
              <w:pStyle w:val="ListParagraph"/>
              <w:numPr>
                <w:ilvl w:val="1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 xml:space="preserve">Flexibility 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Adapt the environment to maximize the persons independence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Consistent staff who know the resident best and have an emotional connection</w:t>
            </w:r>
          </w:p>
        </w:tc>
        <w:tc>
          <w:tcPr>
            <w:tcW w:w="1095" w:type="pct"/>
          </w:tcPr>
          <w:p w:rsidR="00D92CC0" w:rsidRPr="00D92CC0" w:rsidRDefault="00D92CC0" w:rsidP="00D92CC0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Isolate to a private room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Limit contact to people wearing contact/droplet PPE</w:t>
            </w:r>
          </w:p>
          <w:p w:rsidR="00D92CC0" w:rsidRPr="00D92CC0" w:rsidRDefault="00D92CC0" w:rsidP="00D92CC0">
            <w:pPr>
              <w:pStyle w:val="ListParagraph"/>
              <w:numPr>
                <w:ilvl w:val="0"/>
                <w:numId w:val="13"/>
              </w:numPr>
              <w:rPr>
                <w:color w:val="1F4E79" w:themeColor="accent1" w:themeShade="80"/>
                <w:szCs w:val="24"/>
              </w:rPr>
            </w:pPr>
            <w:r w:rsidRPr="00D92CC0">
              <w:rPr>
                <w:color w:val="1F4E79" w:themeColor="accent1" w:themeShade="80"/>
                <w:szCs w:val="24"/>
              </w:rPr>
              <w:t>Declutter environment</w:t>
            </w:r>
          </w:p>
        </w:tc>
      </w:tr>
    </w:tbl>
    <w:p w:rsidR="00D92CC0" w:rsidRDefault="00D92CC0" w:rsidP="00D92CC0">
      <w:pPr>
        <w:pStyle w:val="NoSpacing"/>
        <w:rPr>
          <w:sz w:val="24"/>
          <w:szCs w:val="24"/>
        </w:rPr>
      </w:pPr>
    </w:p>
    <w:p w:rsidR="00D92CC0" w:rsidRDefault="00D92CC0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D92CC0" w:rsidRPr="00D92CC0" w:rsidRDefault="00D92CC0" w:rsidP="00D92CC0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D92CC0">
        <w:rPr>
          <w:b/>
          <w:color w:val="1F4E79" w:themeColor="accent1" w:themeShade="80"/>
          <w:sz w:val="28"/>
          <w:szCs w:val="28"/>
        </w:rPr>
        <w:lastRenderedPageBreak/>
        <w:t>Scenarios</w:t>
      </w:r>
    </w:p>
    <w:p w:rsidR="00D92CC0" w:rsidRPr="00D92CC0" w:rsidRDefault="00D92CC0" w:rsidP="00D92CC0">
      <w:pPr>
        <w:pStyle w:val="NoSpacing"/>
        <w:ind w:left="360"/>
        <w:rPr>
          <w:color w:val="1F4E79" w:themeColor="accent1" w:themeShade="80"/>
          <w:sz w:val="24"/>
          <w:szCs w:val="24"/>
        </w:rPr>
      </w:pPr>
    </w:p>
    <w:p w:rsidR="00D92CC0" w:rsidRDefault="00D92CC0" w:rsidP="00D92CC0">
      <w:pPr>
        <w:pStyle w:val="NoSpacing"/>
        <w:numPr>
          <w:ilvl w:val="0"/>
          <w:numId w:val="16"/>
        </w:numPr>
        <w:rPr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Prevention</w:t>
      </w:r>
      <w:r>
        <w:rPr>
          <w:color w:val="1F4E79" w:themeColor="accent1" w:themeShade="80"/>
          <w:sz w:val="24"/>
          <w:szCs w:val="24"/>
        </w:rPr>
        <w:t>:</w:t>
      </w:r>
    </w:p>
    <w:p w:rsidR="00D92CC0" w:rsidRPr="00D92CC0" w:rsidRDefault="00D92CC0" w:rsidP="00D92CC0">
      <w:pPr>
        <w:pStyle w:val="NoSpacing"/>
        <w:ind w:left="72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S</w:t>
      </w:r>
      <w:r w:rsidRPr="00D92CC0">
        <w:rPr>
          <w:color w:val="1F4E79" w:themeColor="accent1" w:themeShade="80"/>
          <w:sz w:val="24"/>
          <w:szCs w:val="24"/>
        </w:rPr>
        <w:t xml:space="preserve">tart planning for those </w:t>
      </w:r>
      <w:r>
        <w:rPr>
          <w:color w:val="1F4E79" w:themeColor="accent1" w:themeShade="80"/>
          <w:sz w:val="24"/>
          <w:szCs w:val="24"/>
        </w:rPr>
        <w:t>who might pose a risk -</w:t>
      </w:r>
    </w:p>
    <w:p w:rsidR="00D92CC0" w:rsidRP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Be very creative; this is the time to try things and test</w:t>
      </w:r>
      <w:r w:rsidR="00B5135A">
        <w:rPr>
          <w:color w:val="1F4E79" w:themeColor="accent1" w:themeShade="80"/>
          <w:sz w:val="24"/>
          <w:szCs w:val="24"/>
        </w:rPr>
        <w:t>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D92CC0" w:rsidRP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Identify now who would be challenged to stay in their own space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Identify staff who have “superpowers” to engage, distract, redirect</w:t>
      </w:r>
      <w:r w:rsidR="00B5135A">
        <w:rPr>
          <w:color w:val="1F4E79" w:themeColor="accent1" w:themeShade="80"/>
          <w:sz w:val="24"/>
          <w:szCs w:val="24"/>
        </w:rPr>
        <w:t>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D92CC0" w:rsidRP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Talk to families and staff who know resident best for ideas of what engages and what backfires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Identify areas that can be used to “cohort” residents who will not stay in their room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Declutter the environment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rPr>
          <w:color w:val="1F4E79" w:themeColor="accent1" w:themeShade="80"/>
          <w:sz w:val="24"/>
          <w:szCs w:val="24"/>
        </w:rPr>
      </w:pPr>
    </w:p>
    <w:p w:rsidR="00D92CC0" w:rsidRPr="00D92CC0" w:rsidRDefault="00D92CC0" w:rsidP="00D92CC0">
      <w:pPr>
        <w:pStyle w:val="NoSpacing"/>
        <w:numPr>
          <w:ilvl w:val="0"/>
          <w:numId w:val="16"/>
        </w:numPr>
        <w:rPr>
          <w:b/>
          <w:color w:val="1F4E79" w:themeColor="accent1" w:themeShade="80"/>
          <w:sz w:val="24"/>
          <w:szCs w:val="24"/>
        </w:rPr>
      </w:pPr>
      <w:r w:rsidRPr="00D92CC0">
        <w:rPr>
          <w:b/>
          <w:color w:val="1F4E79" w:themeColor="accent1" w:themeShade="80"/>
          <w:sz w:val="24"/>
          <w:szCs w:val="24"/>
        </w:rPr>
        <w:t xml:space="preserve">Outbreak phase (stressed resources) </w:t>
      </w:r>
    </w:p>
    <w:p w:rsidR="00D92CC0" w:rsidRDefault="00D92CC0" w:rsidP="00D92CC0">
      <w:pPr>
        <w:pStyle w:val="NoSpacing"/>
        <w:numPr>
          <w:ilvl w:val="1"/>
          <w:numId w:val="16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Ask for help from the Rapid Response Team and Education Support Team</w:t>
      </w:r>
    </w:p>
    <w:p w:rsidR="00D92CC0" w:rsidRPr="00D92CC0" w:rsidRDefault="00D92CC0" w:rsidP="00D92CC0">
      <w:pPr>
        <w:pStyle w:val="NoSpacing"/>
        <w:ind w:left="1440"/>
        <w:rPr>
          <w:b/>
          <w:color w:val="1F4E79" w:themeColor="accent1" w:themeShade="80"/>
          <w:sz w:val="28"/>
          <w:szCs w:val="28"/>
        </w:rPr>
      </w:pPr>
    </w:p>
    <w:p w:rsidR="00D92CC0" w:rsidRDefault="00D92CC0" w:rsidP="00D92CC0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D92CC0">
        <w:rPr>
          <w:b/>
          <w:color w:val="1F4E79" w:themeColor="accent1" w:themeShade="80"/>
          <w:sz w:val="28"/>
          <w:szCs w:val="28"/>
        </w:rPr>
        <w:t>Practice Principles</w:t>
      </w:r>
    </w:p>
    <w:p w:rsidR="00D92CC0" w:rsidRPr="00D92CC0" w:rsidRDefault="00D92CC0" w:rsidP="00D92CC0">
      <w:pPr>
        <w:pStyle w:val="NoSpacing"/>
        <w:rPr>
          <w:b/>
          <w:color w:val="1F4E79" w:themeColor="accent1" w:themeShade="80"/>
          <w:sz w:val="28"/>
          <w:szCs w:val="28"/>
        </w:rPr>
      </w:pPr>
    </w:p>
    <w:p w:rsidR="00D92CC0" w:rsidRPr="00D92CC0" w:rsidRDefault="00D92CC0" w:rsidP="00D92CC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Learn as much as you can about the </w:t>
      </w:r>
      <w:proofErr w:type="spellStart"/>
      <w:r w:rsidRPr="00D92CC0">
        <w:rPr>
          <w:color w:val="1F4E79" w:themeColor="accent1" w:themeShade="80"/>
          <w:sz w:val="24"/>
          <w:szCs w:val="24"/>
        </w:rPr>
        <w:t>resident</w:t>
      </w:r>
      <w:r>
        <w:rPr>
          <w:color w:val="1F4E79" w:themeColor="accent1" w:themeShade="80"/>
          <w:sz w:val="24"/>
          <w:szCs w:val="24"/>
        </w:rPr>
        <w:t>’s</w:t>
      </w:r>
      <w:proofErr w:type="spellEnd"/>
      <w:r w:rsidRPr="00D92CC0">
        <w:rPr>
          <w:color w:val="1F4E79" w:themeColor="accent1" w:themeShade="80"/>
          <w:sz w:val="24"/>
          <w:szCs w:val="24"/>
        </w:rPr>
        <w:t xml:space="preserve"> behaviour:</w:t>
      </w:r>
    </w:p>
    <w:p w:rsidR="00D92CC0" w:rsidRPr="00D92CC0" w:rsidRDefault="00D92CC0" w:rsidP="00D92CC0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Is the behaviours actually putti</w:t>
      </w:r>
      <w:r>
        <w:rPr>
          <w:color w:val="1F4E79" w:themeColor="accent1" w:themeShade="80"/>
          <w:sz w:val="24"/>
          <w:szCs w:val="24"/>
        </w:rPr>
        <w:t>ng other’s at intolerable risk (</w:t>
      </w:r>
      <w:r w:rsidRPr="00D92CC0">
        <w:rPr>
          <w:color w:val="1F4E79" w:themeColor="accent1" w:themeShade="80"/>
          <w:sz w:val="24"/>
          <w:szCs w:val="24"/>
        </w:rPr>
        <w:t>e.g. are they touching objects or just walking</w:t>
      </w:r>
      <w:r>
        <w:rPr>
          <w:color w:val="1F4E79" w:themeColor="accent1" w:themeShade="80"/>
          <w:sz w:val="24"/>
          <w:szCs w:val="24"/>
        </w:rPr>
        <w:t xml:space="preserve"> around)?</w:t>
      </w:r>
    </w:p>
    <w:p w:rsidR="00D92CC0" w:rsidRPr="00D92CC0" w:rsidRDefault="00D92CC0" w:rsidP="00D92CC0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Ask people who know the resident best about patterns: </w:t>
      </w:r>
    </w:p>
    <w:p w:rsidR="00D92CC0" w:rsidRPr="00D92CC0" w:rsidRDefault="00D92CC0" w:rsidP="00D92CC0">
      <w:pPr>
        <w:pStyle w:val="ListParagraph"/>
        <w:numPr>
          <w:ilvl w:val="2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When is the behaviour happening and for how long</w:t>
      </w:r>
      <w:r>
        <w:rPr>
          <w:color w:val="1F4E79" w:themeColor="accent1" w:themeShade="80"/>
          <w:sz w:val="24"/>
          <w:szCs w:val="24"/>
        </w:rPr>
        <w:t>?</w:t>
      </w:r>
    </w:p>
    <w:p w:rsidR="00D92CC0" w:rsidRPr="00D92CC0" w:rsidRDefault="00D92CC0" w:rsidP="00D92CC0">
      <w:pPr>
        <w:pStyle w:val="ListParagraph"/>
        <w:numPr>
          <w:ilvl w:val="2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Does anything trigger the behaviours</w:t>
      </w:r>
      <w:r>
        <w:rPr>
          <w:color w:val="1F4E79" w:themeColor="accent1" w:themeShade="80"/>
          <w:sz w:val="24"/>
          <w:szCs w:val="24"/>
        </w:rPr>
        <w:t>?</w:t>
      </w:r>
    </w:p>
    <w:p w:rsidR="00D92CC0" w:rsidRPr="00D92CC0" w:rsidRDefault="00B5135A" w:rsidP="00D92CC0">
      <w:pPr>
        <w:pStyle w:val="ListParagraph"/>
        <w:numPr>
          <w:ilvl w:val="2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What engages the resident best (</w:t>
      </w:r>
      <w:r w:rsidR="00D92CC0" w:rsidRPr="00D92CC0">
        <w:rPr>
          <w:color w:val="1F4E79" w:themeColor="accent1" w:themeShade="80"/>
          <w:sz w:val="24"/>
          <w:szCs w:val="24"/>
        </w:rPr>
        <w:t>e.g. being around other people, specif</w:t>
      </w:r>
      <w:r>
        <w:rPr>
          <w:color w:val="1F4E79" w:themeColor="accent1" w:themeShade="80"/>
          <w:sz w:val="24"/>
          <w:szCs w:val="24"/>
        </w:rPr>
        <w:t xml:space="preserve">ic objects </w:t>
      </w:r>
      <w:r w:rsidRPr="00D92CC0">
        <w:rPr>
          <w:color w:val="1F4E79" w:themeColor="accent1" w:themeShade="80"/>
          <w:sz w:val="24"/>
          <w:szCs w:val="24"/>
        </w:rPr>
        <w:t>and specific</w:t>
      </w:r>
      <w:r w:rsidR="00D92CC0" w:rsidRPr="00D92CC0">
        <w:rPr>
          <w:color w:val="1F4E79" w:themeColor="accent1" w:themeShade="80"/>
          <w:sz w:val="24"/>
          <w:szCs w:val="24"/>
        </w:rPr>
        <w:t xml:space="preserve"> activities</w:t>
      </w:r>
      <w:r>
        <w:rPr>
          <w:color w:val="1F4E79" w:themeColor="accent1" w:themeShade="80"/>
          <w:sz w:val="24"/>
          <w:szCs w:val="24"/>
        </w:rPr>
        <w:t>)</w:t>
      </w:r>
      <w:r w:rsidR="00D92CC0">
        <w:rPr>
          <w:color w:val="1F4E79" w:themeColor="accent1" w:themeShade="80"/>
          <w:sz w:val="24"/>
          <w:szCs w:val="24"/>
        </w:rPr>
        <w:t>?</w:t>
      </w:r>
    </w:p>
    <w:p w:rsidR="00D92CC0" w:rsidRPr="00D92CC0" w:rsidRDefault="00D92CC0" w:rsidP="00D92CC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Engage </w:t>
      </w:r>
      <w:r w:rsidRPr="00D92CC0">
        <w:rPr>
          <w:color w:val="1F4E79" w:themeColor="accent1" w:themeShade="80"/>
          <w:sz w:val="24"/>
          <w:szCs w:val="24"/>
        </w:rPr>
        <w:t>residents based on individual needs:</w:t>
      </w:r>
    </w:p>
    <w:p w:rsidR="00D92CC0" w:rsidRPr="00D92CC0" w:rsidRDefault="00D92CC0" w:rsidP="00D92CC0">
      <w:pPr>
        <w:pStyle w:val="ListParagraph"/>
        <w:numPr>
          <w:ilvl w:val="1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Focus on mitigating behaviours that are actually risky</w:t>
      </w:r>
      <w:r>
        <w:rPr>
          <w:color w:val="1F4E79" w:themeColor="accent1" w:themeShade="80"/>
          <w:sz w:val="24"/>
          <w:szCs w:val="24"/>
        </w:rPr>
        <w:t xml:space="preserve"> (e.g. wandering, entering resident rooms).</w:t>
      </w:r>
    </w:p>
    <w:p w:rsidR="00D92CC0" w:rsidRPr="00D92CC0" w:rsidRDefault="00D92CC0" w:rsidP="00D92CC0">
      <w:pPr>
        <w:pStyle w:val="ListParagraph"/>
        <w:numPr>
          <w:ilvl w:val="1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Try the obvious, have residents wear a mask and </w:t>
      </w:r>
      <w:r>
        <w:rPr>
          <w:color w:val="1F4E79" w:themeColor="accent1" w:themeShade="80"/>
          <w:sz w:val="24"/>
          <w:szCs w:val="24"/>
        </w:rPr>
        <w:t>clean</w:t>
      </w:r>
      <w:r w:rsidRPr="00D92CC0">
        <w:rPr>
          <w:color w:val="1F4E79" w:themeColor="accent1" w:themeShade="80"/>
          <w:sz w:val="24"/>
          <w:szCs w:val="24"/>
        </w:rPr>
        <w:t xml:space="preserve"> their hands often</w:t>
      </w:r>
      <w:r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B5135A" w:rsidP="00D92CC0">
      <w:pPr>
        <w:pStyle w:val="ListParagraph"/>
        <w:numPr>
          <w:ilvl w:val="1"/>
          <w:numId w:val="15"/>
        </w:numP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Promote activities that support infection control (</w:t>
      </w:r>
      <w:r w:rsidR="00D92CC0" w:rsidRPr="00D92CC0">
        <w:rPr>
          <w:color w:val="1F4E79" w:themeColor="accent1" w:themeShade="80"/>
          <w:sz w:val="24"/>
          <w:szCs w:val="24"/>
        </w:rPr>
        <w:t>e.g. have them wash dishes, set out a dishpan with soap and water and some plates for them to wash and dry</w:t>
      </w:r>
      <w:r>
        <w:rPr>
          <w:color w:val="1F4E79" w:themeColor="accent1" w:themeShade="80"/>
          <w:sz w:val="24"/>
          <w:szCs w:val="24"/>
        </w:rPr>
        <w:t>).</w:t>
      </w:r>
    </w:p>
    <w:p w:rsidR="00D92CC0" w:rsidRPr="00D92CC0" w:rsidRDefault="00D92CC0" w:rsidP="00B5135A">
      <w:pPr>
        <w:pStyle w:val="ListParagraph"/>
        <w:numPr>
          <w:ilvl w:val="0"/>
          <w:numId w:val="14"/>
        </w:numPr>
        <w:spacing w:after="0" w:line="240" w:lineRule="auto"/>
        <w:ind w:hanging="357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Change the environment:</w:t>
      </w:r>
    </w:p>
    <w:p w:rsidR="00D92CC0" w:rsidRPr="00D92CC0" w:rsidRDefault="00D92CC0" w:rsidP="00B5135A">
      <w:pPr>
        <w:pStyle w:val="NoSpacing"/>
        <w:numPr>
          <w:ilvl w:val="0"/>
          <w:numId w:val="17"/>
        </w:numPr>
        <w:ind w:hanging="357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Make </w:t>
      </w:r>
      <w:r w:rsidR="00B5135A">
        <w:rPr>
          <w:color w:val="1F4E79" w:themeColor="accent1" w:themeShade="80"/>
          <w:sz w:val="24"/>
          <w:szCs w:val="24"/>
        </w:rPr>
        <w:t xml:space="preserve">the </w:t>
      </w:r>
      <w:r w:rsidRPr="00D92CC0">
        <w:rPr>
          <w:color w:val="1F4E79" w:themeColor="accent1" w:themeShade="80"/>
          <w:sz w:val="24"/>
          <w:szCs w:val="24"/>
        </w:rPr>
        <w:t>isolation space more interestin</w:t>
      </w:r>
      <w:r w:rsidR="00B5135A">
        <w:rPr>
          <w:color w:val="1F4E79" w:themeColor="accent1" w:themeShade="80"/>
          <w:sz w:val="24"/>
          <w:szCs w:val="24"/>
        </w:rPr>
        <w:t>g for the resident.</w:t>
      </w:r>
    </w:p>
    <w:p w:rsidR="00D92CC0" w:rsidRPr="00D92CC0" w:rsidRDefault="00D92CC0" w:rsidP="00D92CC0">
      <w:pPr>
        <w:pStyle w:val="NoSpacing"/>
        <w:numPr>
          <w:ilvl w:val="0"/>
          <w:numId w:val="17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Declutter environment outside of the isolation space to decrease</w:t>
      </w:r>
      <w:r w:rsidR="00B5135A">
        <w:rPr>
          <w:color w:val="1F4E79" w:themeColor="accent1" w:themeShade="80"/>
          <w:sz w:val="24"/>
          <w:szCs w:val="24"/>
        </w:rPr>
        <w:t xml:space="preserve"> the risk of</w:t>
      </w:r>
      <w:r w:rsidRPr="00D92CC0">
        <w:rPr>
          <w:color w:val="1F4E79" w:themeColor="accent1" w:themeShade="80"/>
          <w:sz w:val="24"/>
          <w:szCs w:val="24"/>
        </w:rPr>
        <w:t xml:space="preserve"> contamination</w:t>
      </w:r>
      <w:r w:rsidR="00B5135A">
        <w:rPr>
          <w:color w:val="1F4E79" w:themeColor="accent1" w:themeShade="80"/>
          <w:sz w:val="24"/>
          <w:szCs w:val="24"/>
        </w:rPr>
        <w:t>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D92CC0" w:rsidRPr="00D92CC0" w:rsidRDefault="00D92CC0" w:rsidP="00D92CC0">
      <w:pPr>
        <w:pStyle w:val="NoSpacing"/>
        <w:numPr>
          <w:ilvl w:val="0"/>
          <w:numId w:val="17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Disguise/hide PPE so </w:t>
      </w:r>
      <w:r w:rsidR="00B5135A">
        <w:rPr>
          <w:color w:val="1F4E79" w:themeColor="accent1" w:themeShade="80"/>
          <w:sz w:val="24"/>
          <w:szCs w:val="24"/>
        </w:rPr>
        <w:t xml:space="preserve">it is </w:t>
      </w:r>
      <w:r w:rsidRPr="00D92CC0">
        <w:rPr>
          <w:color w:val="1F4E79" w:themeColor="accent1" w:themeShade="80"/>
          <w:sz w:val="24"/>
          <w:szCs w:val="24"/>
        </w:rPr>
        <w:t>not contaminated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numPr>
          <w:ilvl w:val="0"/>
          <w:numId w:val="17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lastRenderedPageBreak/>
        <w:t xml:space="preserve">Use distractions on the floor to divert a resident from moving in </w:t>
      </w:r>
      <w:r w:rsidR="00B5135A">
        <w:rPr>
          <w:color w:val="1F4E79" w:themeColor="accent1" w:themeShade="80"/>
          <w:sz w:val="24"/>
          <w:szCs w:val="24"/>
        </w:rPr>
        <w:t>a specific</w:t>
      </w:r>
      <w:r w:rsidRPr="00D92CC0">
        <w:rPr>
          <w:color w:val="1F4E79" w:themeColor="accent1" w:themeShade="80"/>
          <w:sz w:val="24"/>
          <w:szCs w:val="24"/>
        </w:rPr>
        <w:t xml:space="preserve"> direction (e.g. a black square may look like a hole to someone with perceptional problems)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numPr>
          <w:ilvl w:val="0"/>
          <w:numId w:val="17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Create a space for </w:t>
      </w:r>
      <w:r w:rsidR="00B5135A">
        <w:rPr>
          <w:color w:val="1F4E79" w:themeColor="accent1" w:themeShade="80"/>
          <w:sz w:val="24"/>
          <w:szCs w:val="24"/>
        </w:rPr>
        <w:t xml:space="preserve">those </w:t>
      </w:r>
      <w:r w:rsidRPr="00D92CC0">
        <w:rPr>
          <w:color w:val="1F4E79" w:themeColor="accent1" w:themeShade="80"/>
          <w:sz w:val="24"/>
          <w:szCs w:val="24"/>
        </w:rPr>
        <w:t xml:space="preserve">who </w:t>
      </w:r>
      <w:r w:rsidR="00B5135A">
        <w:rPr>
          <w:color w:val="1F4E79" w:themeColor="accent1" w:themeShade="80"/>
          <w:sz w:val="24"/>
          <w:szCs w:val="24"/>
        </w:rPr>
        <w:t>are at-risk for spreading infections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  <w:r w:rsidR="00B5135A">
        <w:rPr>
          <w:color w:val="1F4E79" w:themeColor="accent1" w:themeShade="80"/>
          <w:sz w:val="24"/>
          <w:szCs w:val="24"/>
        </w:rPr>
        <w:t>(</w:t>
      </w:r>
      <w:r w:rsidRPr="00D92CC0">
        <w:rPr>
          <w:color w:val="1F4E79" w:themeColor="accent1" w:themeShade="80"/>
          <w:sz w:val="24"/>
          <w:szCs w:val="24"/>
        </w:rPr>
        <w:t>e.g. make one neighbourhood di</w:t>
      </w:r>
      <w:r w:rsidR="00B5135A">
        <w:rPr>
          <w:color w:val="1F4E79" w:themeColor="accent1" w:themeShade="80"/>
          <w:sz w:val="24"/>
          <w:szCs w:val="24"/>
        </w:rPr>
        <w:t xml:space="preserve">ning room a “recreation room”; </w:t>
      </w:r>
      <w:r w:rsidRPr="00D92CC0">
        <w:rPr>
          <w:color w:val="1F4E79" w:themeColor="accent1" w:themeShade="80"/>
          <w:sz w:val="24"/>
          <w:szCs w:val="24"/>
        </w:rPr>
        <w:t>keep other people out and do enhance cleaning of this area</w:t>
      </w:r>
      <w:r w:rsidR="00B5135A">
        <w:rPr>
          <w:color w:val="1F4E79" w:themeColor="accent1" w:themeShade="80"/>
          <w:sz w:val="24"/>
          <w:szCs w:val="24"/>
        </w:rPr>
        <w:t xml:space="preserve">). </w:t>
      </w:r>
    </w:p>
    <w:p w:rsidR="00D92CC0" w:rsidRPr="00D92CC0" w:rsidRDefault="00D92CC0" w:rsidP="00D92CC0">
      <w:pPr>
        <w:pStyle w:val="NoSpacing"/>
        <w:numPr>
          <w:ilvl w:val="0"/>
          <w:numId w:val="17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Close </w:t>
      </w:r>
      <w:r w:rsidR="00B5135A">
        <w:rPr>
          <w:color w:val="1F4E79" w:themeColor="accent1" w:themeShade="80"/>
          <w:sz w:val="24"/>
          <w:szCs w:val="24"/>
        </w:rPr>
        <w:t xml:space="preserve">doors of other residents in affected </w:t>
      </w:r>
      <w:r w:rsidRPr="00D92CC0">
        <w:rPr>
          <w:color w:val="1F4E79" w:themeColor="accent1" w:themeShade="80"/>
          <w:sz w:val="24"/>
          <w:szCs w:val="24"/>
        </w:rPr>
        <w:t>area</w:t>
      </w:r>
      <w:r w:rsidR="00B5135A">
        <w:rPr>
          <w:color w:val="1F4E79" w:themeColor="accent1" w:themeShade="80"/>
          <w:sz w:val="24"/>
          <w:szCs w:val="24"/>
        </w:rPr>
        <w:t>s.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D92CC0" w:rsidRPr="00D92CC0" w:rsidRDefault="00D92CC0" w:rsidP="00D92CC0">
      <w:pPr>
        <w:pStyle w:val="NoSpacing"/>
        <w:rPr>
          <w:color w:val="1F4E79" w:themeColor="accent1" w:themeShade="80"/>
          <w:sz w:val="24"/>
          <w:szCs w:val="24"/>
        </w:rPr>
      </w:pPr>
    </w:p>
    <w:p w:rsidR="00D92CC0" w:rsidRPr="00D92CC0" w:rsidRDefault="00D92CC0" w:rsidP="00D92CC0">
      <w:pPr>
        <w:pStyle w:val="ListParagraph"/>
        <w:numPr>
          <w:ilvl w:val="0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Use your people:</w:t>
      </w:r>
    </w:p>
    <w:p w:rsidR="00D92CC0" w:rsidRPr="00D92CC0" w:rsidRDefault="00B5135A" w:rsidP="00D92CC0">
      <w:pPr>
        <w:pStyle w:val="ListParagraph"/>
        <w:numPr>
          <w:ilvl w:val="1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Assign </w:t>
      </w:r>
      <w:proofErr w:type="gramStart"/>
      <w:r>
        <w:rPr>
          <w:color w:val="1F4E79" w:themeColor="accent1" w:themeShade="80"/>
          <w:sz w:val="24"/>
          <w:szCs w:val="24"/>
        </w:rPr>
        <w:t>staff who are</w:t>
      </w:r>
      <w:proofErr w:type="gramEnd"/>
      <w:r>
        <w:rPr>
          <w:color w:val="1F4E79" w:themeColor="accent1" w:themeShade="80"/>
          <w:sz w:val="24"/>
          <w:szCs w:val="24"/>
        </w:rPr>
        <w:t xml:space="preserve"> good at </w:t>
      </w:r>
      <w:r w:rsidR="00D92CC0" w:rsidRPr="00D92CC0">
        <w:rPr>
          <w:color w:val="1F4E79" w:themeColor="accent1" w:themeShade="80"/>
          <w:sz w:val="24"/>
          <w:szCs w:val="24"/>
        </w:rPr>
        <w:t xml:space="preserve">engaging people with dementia to these </w:t>
      </w:r>
      <w:r>
        <w:rPr>
          <w:color w:val="1F4E79" w:themeColor="accent1" w:themeShade="80"/>
          <w:sz w:val="24"/>
          <w:szCs w:val="24"/>
        </w:rPr>
        <w:t xml:space="preserve">high-risk </w:t>
      </w:r>
      <w:r w:rsidR="00D92CC0" w:rsidRPr="00D92CC0">
        <w:rPr>
          <w:color w:val="1F4E79" w:themeColor="accent1" w:themeShade="80"/>
          <w:sz w:val="24"/>
          <w:szCs w:val="24"/>
        </w:rPr>
        <w:t>residents</w:t>
      </w:r>
      <w:r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ListParagraph"/>
        <w:numPr>
          <w:ilvl w:val="1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Redeploy to have s</w:t>
      </w:r>
      <w:r w:rsidR="00B5135A">
        <w:rPr>
          <w:color w:val="1F4E79" w:themeColor="accent1" w:themeShade="80"/>
          <w:sz w:val="24"/>
          <w:szCs w:val="24"/>
        </w:rPr>
        <w:t>taff at high needs time of day (</w:t>
      </w:r>
      <w:r w:rsidRPr="00D92CC0">
        <w:rPr>
          <w:color w:val="1F4E79" w:themeColor="accent1" w:themeShade="80"/>
          <w:sz w:val="24"/>
          <w:szCs w:val="24"/>
        </w:rPr>
        <w:t xml:space="preserve">e.g. </w:t>
      </w:r>
      <w:proofErr w:type="gramStart"/>
      <w:r w:rsidRPr="00D92CC0">
        <w:rPr>
          <w:color w:val="1F4E79" w:themeColor="accent1" w:themeShade="80"/>
          <w:sz w:val="24"/>
          <w:szCs w:val="24"/>
        </w:rPr>
        <w:t>have rec staff</w:t>
      </w:r>
      <w:proofErr w:type="gramEnd"/>
      <w:r w:rsidRPr="00D92CC0">
        <w:rPr>
          <w:color w:val="1F4E79" w:themeColor="accent1" w:themeShade="80"/>
          <w:sz w:val="24"/>
          <w:szCs w:val="24"/>
        </w:rPr>
        <w:t xml:space="preserve"> available in neighbourhoods late in the afternoon when </w:t>
      </w:r>
      <w:proofErr w:type="spellStart"/>
      <w:r w:rsidRPr="00D92CC0">
        <w:rPr>
          <w:color w:val="1F4E79" w:themeColor="accent1" w:themeShade="80"/>
          <w:sz w:val="24"/>
          <w:szCs w:val="24"/>
        </w:rPr>
        <w:t>sundowning</w:t>
      </w:r>
      <w:proofErr w:type="spellEnd"/>
      <w:r w:rsidRPr="00D92CC0">
        <w:rPr>
          <w:color w:val="1F4E79" w:themeColor="accent1" w:themeShade="80"/>
          <w:sz w:val="24"/>
          <w:szCs w:val="24"/>
        </w:rPr>
        <w:t xml:space="preserve"> may occur</w:t>
      </w:r>
      <w:r w:rsidR="00B5135A">
        <w:rPr>
          <w:color w:val="1F4E79" w:themeColor="accent1" w:themeShade="80"/>
          <w:sz w:val="24"/>
          <w:szCs w:val="24"/>
        </w:rPr>
        <w:t xml:space="preserve">). </w:t>
      </w:r>
    </w:p>
    <w:p w:rsidR="00D92CC0" w:rsidRPr="00D92CC0" w:rsidRDefault="00D92CC0" w:rsidP="00D92CC0">
      <w:pPr>
        <w:pStyle w:val="ListParagraph"/>
        <w:numPr>
          <w:ilvl w:val="1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Prioritize engagement of this group above getting people dressed in the morning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ListParagraph"/>
        <w:ind w:left="1080"/>
        <w:rPr>
          <w:color w:val="1F4E79" w:themeColor="accent1" w:themeShade="80"/>
          <w:sz w:val="24"/>
          <w:szCs w:val="24"/>
        </w:rPr>
      </w:pPr>
    </w:p>
    <w:p w:rsidR="00D92CC0" w:rsidRPr="00D92CC0" w:rsidRDefault="00D92CC0" w:rsidP="00D92CC0">
      <w:pPr>
        <w:pStyle w:val="ListParagraph"/>
        <w:numPr>
          <w:ilvl w:val="0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Do </w:t>
      </w:r>
      <w:r w:rsidR="00B5135A">
        <w:rPr>
          <w:color w:val="1F4E79" w:themeColor="accent1" w:themeShade="80"/>
          <w:sz w:val="24"/>
          <w:szCs w:val="24"/>
        </w:rPr>
        <w:t xml:space="preserve">a </w:t>
      </w:r>
      <w:r w:rsidRPr="00D92CC0">
        <w:rPr>
          <w:color w:val="1F4E79" w:themeColor="accent1" w:themeShade="80"/>
          <w:sz w:val="24"/>
          <w:szCs w:val="24"/>
        </w:rPr>
        <w:t xml:space="preserve">good clinical assessment: </w:t>
      </w:r>
    </w:p>
    <w:p w:rsidR="00D92CC0" w:rsidRPr="00D92CC0" w:rsidRDefault="00D92CC0" w:rsidP="00D92CC0">
      <w:pPr>
        <w:pStyle w:val="ListParagraph"/>
        <w:numPr>
          <w:ilvl w:val="1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 xml:space="preserve">Sudden changes in </w:t>
      </w:r>
      <w:r w:rsidR="00B5135A">
        <w:rPr>
          <w:color w:val="1F4E79" w:themeColor="accent1" w:themeShade="80"/>
          <w:sz w:val="24"/>
          <w:szCs w:val="24"/>
        </w:rPr>
        <w:t xml:space="preserve">behaviour can indicate illness – </w:t>
      </w:r>
      <w:r w:rsidRPr="00D92CC0">
        <w:rPr>
          <w:color w:val="1F4E79" w:themeColor="accent1" w:themeShade="80"/>
          <w:sz w:val="24"/>
          <w:szCs w:val="24"/>
        </w:rPr>
        <w:t>document</w:t>
      </w:r>
      <w:r w:rsidR="00B5135A">
        <w:rPr>
          <w:color w:val="1F4E79" w:themeColor="accent1" w:themeShade="80"/>
          <w:sz w:val="24"/>
          <w:szCs w:val="24"/>
        </w:rPr>
        <w:t xml:space="preserve"> this</w:t>
      </w:r>
      <w:r w:rsidRPr="00D92CC0">
        <w:rPr>
          <w:color w:val="1F4E79" w:themeColor="accent1" w:themeShade="80"/>
          <w:sz w:val="24"/>
          <w:szCs w:val="24"/>
        </w:rPr>
        <w:t xml:space="preserve"> as part of a line list</w:t>
      </w:r>
      <w:r w:rsidR="00B5135A">
        <w:rPr>
          <w:color w:val="1F4E79" w:themeColor="accent1" w:themeShade="80"/>
          <w:sz w:val="24"/>
          <w:szCs w:val="24"/>
        </w:rPr>
        <w:t>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D92CC0" w:rsidRPr="00D92CC0" w:rsidRDefault="00D92CC0" w:rsidP="00D92CC0">
      <w:pPr>
        <w:pStyle w:val="ListParagraph"/>
        <w:numPr>
          <w:ilvl w:val="1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For new behaviours ask:</w:t>
      </w:r>
    </w:p>
    <w:p w:rsidR="00D92CC0" w:rsidRPr="00D92CC0" w:rsidRDefault="00D92CC0" w:rsidP="00D92CC0">
      <w:pPr>
        <w:pStyle w:val="ListParagraph"/>
        <w:numPr>
          <w:ilvl w:val="2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What has changed</w:t>
      </w:r>
      <w:r w:rsidR="00B5135A">
        <w:rPr>
          <w:color w:val="1F4E79" w:themeColor="accent1" w:themeShade="80"/>
          <w:sz w:val="24"/>
          <w:szCs w:val="24"/>
        </w:rPr>
        <w:t>?</w:t>
      </w:r>
    </w:p>
    <w:p w:rsidR="00D92CC0" w:rsidRPr="00D92CC0" w:rsidRDefault="00D92CC0" w:rsidP="00D92CC0">
      <w:pPr>
        <w:pStyle w:val="ListParagraph"/>
        <w:numPr>
          <w:ilvl w:val="2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Is the behaviour risky</w:t>
      </w:r>
      <w:r w:rsidR="00B5135A">
        <w:rPr>
          <w:color w:val="1F4E79" w:themeColor="accent1" w:themeShade="80"/>
          <w:sz w:val="24"/>
          <w:szCs w:val="24"/>
        </w:rPr>
        <w:t>?</w:t>
      </w:r>
    </w:p>
    <w:p w:rsidR="00D92CC0" w:rsidRPr="00D92CC0" w:rsidRDefault="00D92CC0" w:rsidP="00D92CC0">
      <w:pPr>
        <w:pStyle w:val="ListParagraph"/>
        <w:numPr>
          <w:ilvl w:val="2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What is your plan</w:t>
      </w:r>
      <w:r w:rsidR="00B5135A">
        <w:rPr>
          <w:color w:val="1F4E79" w:themeColor="accent1" w:themeShade="80"/>
          <w:sz w:val="24"/>
          <w:szCs w:val="24"/>
        </w:rPr>
        <w:t>?</w:t>
      </w:r>
    </w:p>
    <w:p w:rsidR="00D92CC0" w:rsidRPr="00D92CC0" w:rsidRDefault="00B5135A" w:rsidP="00D92CC0">
      <w:pPr>
        <w:pStyle w:val="ListParagraph"/>
        <w:numPr>
          <w:ilvl w:val="0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“</w:t>
      </w:r>
      <w:r w:rsidR="00D92CC0" w:rsidRPr="00D92CC0">
        <w:rPr>
          <w:color w:val="1F4E79" w:themeColor="accent1" w:themeShade="80"/>
          <w:sz w:val="24"/>
          <w:szCs w:val="24"/>
        </w:rPr>
        <w:t>Commu</w:t>
      </w:r>
      <w:r>
        <w:rPr>
          <w:color w:val="1F4E79" w:themeColor="accent1" w:themeShade="80"/>
          <w:sz w:val="24"/>
          <w:szCs w:val="24"/>
        </w:rPr>
        <w:t xml:space="preserve">nicate, </w:t>
      </w:r>
      <w:r w:rsidR="00D92CC0" w:rsidRPr="00D92CC0">
        <w:rPr>
          <w:color w:val="1F4E79" w:themeColor="accent1" w:themeShade="80"/>
          <w:sz w:val="24"/>
          <w:szCs w:val="24"/>
        </w:rPr>
        <w:t>communicate</w:t>
      </w:r>
      <w:r>
        <w:rPr>
          <w:color w:val="1F4E79" w:themeColor="accent1" w:themeShade="80"/>
          <w:sz w:val="24"/>
          <w:szCs w:val="24"/>
        </w:rPr>
        <w:t>,</w:t>
      </w:r>
      <w:r w:rsidR="00D92CC0" w:rsidRPr="00D92CC0">
        <w:rPr>
          <w:color w:val="1F4E79" w:themeColor="accent1" w:themeShade="80"/>
          <w:sz w:val="24"/>
          <w:szCs w:val="24"/>
        </w:rPr>
        <w:t xml:space="preserve"> communicate</w:t>
      </w:r>
      <w:r>
        <w:rPr>
          <w:color w:val="1F4E79" w:themeColor="accent1" w:themeShade="80"/>
          <w:sz w:val="24"/>
          <w:szCs w:val="24"/>
        </w:rPr>
        <w:t>”</w:t>
      </w:r>
      <w:r w:rsidR="00D92CC0" w:rsidRPr="00D92CC0">
        <w:rPr>
          <w:color w:val="1F4E79" w:themeColor="accent1" w:themeShade="80"/>
          <w:sz w:val="24"/>
          <w:szCs w:val="24"/>
        </w:rPr>
        <w:t xml:space="preserve"> with family or other substitute decision makers</w:t>
      </w:r>
      <w:r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numPr>
          <w:ilvl w:val="0"/>
          <w:numId w:val="14"/>
        </w:numPr>
        <w:spacing w:after="200" w:line="276" w:lineRule="auto"/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Physical restraint is the absolute last resort for someone physically able to move about</w:t>
      </w:r>
      <w:r w:rsidR="00B5135A">
        <w:rPr>
          <w:color w:val="1F4E79" w:themeColor="accent1" w:themeShade="80"/>
          <w:sz w:val="24"/>
          <w:szCs w:val="24"/>
        </w:rPr>
        <w:t>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D92CC0" w:rsidRPr="00D92CC0" w:rsidRDefault="00D92CC0" w:rsidP="00D92CC0">
      <w:pPr>
        <w:pStyle w:val="NoSpacing"/>
        <w:numPr>
          <w:ilvl w:val="0"/>
          <w:numId w:val="18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Usual process for seeking a medical order to restrain and monitoring by staff is required</w:t>
      </w:r>
      <w:r w:rsidR="00B5135A">
        <w:rPr>
          <w:color w:val="1F4E79" w:themeColor="accent1" w:themeShade="80"/>
          <w:sz w:val="24"/>
          <w:szCs w:val="24"/>
        </w:rPr>
        <w:t>.</w:t>
      </w:r>
    </w:p>
    <w:p w:rsidR="00D92CC0" w:rsidRPr="00D92CC0" w:rsidRDefault="00D92CC0" w:rsidP="00D92CC0">
      <w:pPr>
        <w:pStyle w:val="NoSpacing"/>
        <w:numPr>
          <w:ilvl w:val="0"/>
          <w:numId w:val="18"/>
        </w:numPr>
        <w:rPr>
          <w:color w:val="1F4E79" w:themeColor="accent1" w:themeShade="80"/>
          <w:sz w:val="24"/>
          <w:szCs w:val="24"/>
        </w:rPr>
      </w:pPr>
      <w:r w:rsidRPr="00D92CC0">
        <w:rPr>
          <w:color w:val="1F4E79" w:themeColor="accent1" w:themeShade="80"/>
          <w:sz w:val="24"/>
          <w:szCs w:val="24"/>
        </w:rPr>
        <w:t>G</w:t>
      </w:r>
      <w:r w:rsidR="00B5135A">
        <w:rPr>
          <w:color w:val="1F4E79" w:themeColor="accent1" w:themeShade="80"/>
          <w:sz w:val="24"/>
          <w:szCs w:val="24"/>
        </w:rPr>
        <w:t>o with least restrictive first.</w:t>
      </w:r>
      <w:r w:rsidRPr="00D92CC0">
        <w:rPr>
          <w:color w:val="1F4E79" w:themeColor="accent1" w:themeShade="80"/>
          <w:sz w:val="24"/>
          <w:szCs w:val="24"/>
        </w:rPr>
        <w:t xml:space="preserve"> </w:t>
      </w:r>
    </w:p>
    <w:p w:rsidR="00B5135A" w:rsidRDefault="00B5135A" w:rsidP="00D92CC0">
      <w:pPr>
        <w:pStyle w:val="NoSpacing"/>
        <w:numPr>
          <w:ilvl w:val="0"/>
          <w:numId w:val="18"/>
        </w:num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Ask for help and ideas from the Rapid Response Team or the </w:t>
      </w:r>
      <w:r w:rsidR="00D92CC0" w:rsidRPr="00D92CC0">
        <w:rPr>
          <w:color w:val="1F4E79" w:themeColor="accent1" w:themeShade="80"/>
          <w:sz w:val="24"/>
          <w:szCs w:val="24"/>
        </w:rPr>
        <w:t>Licensing officer</w:t>
      </w:r>
      <w:r>
        <w:rPr>
          <w:color w:val="1F4E79" w:themeColor="accent1" w:themeShade="80"/>
          <w:sz w:val="24"/>
          <w:szCs w:val="24"/>
        </w:rPr>
        <w:t>.</w:t>
      </w:r>
    </w:p>
    <w:p w:rsidR="00B5135A" w:rsidRDefault="00B5135A" w:rsidP="00B5135A">
      <w:pPr>
        <w:pStyle w:val="NoSpacing"/>
        <w:rPr>
          <w:color w:val="1F4E79" w:themeColor="accent1" w:themeShade="80"/>
          <w:sz w:val="24"/>
          <w:szCs w:val="24"/>
        </w:rPr>
      </w:pPr>
    </w:p>
    <w:p w:rsidR="00D92CC0" w:rsidRPr="00B5135A" w:rsidRDefault="00B5135A" w:rsidP="00B5135A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B5135A">
        <w:rPr>
          <w:b/>
          <w:color w:val="1F4E79" w:themeColor="accent1" w:themeShade="80"/>
          <w:sz w:val="28"/>
          <w:szCs w:val="28"/>
        </w:rPr>
        <w:t>Reference</w:t>
      </w:r>
      <w:r w:rsidR="00D92CC0" w:rsidRPr="00B5135A">
        <w:rPr>
          <w:b/>
          <w:color w:val="1F4E79" w:themeColor="accent1" w:themeShade="80"/>
          <w:sz w:val="28"/>
          <w:szCs w:val="28"/>
        </w:rPr>
        <w:t xml:space="preserve"> </w:t>
      </w:r>
    </w:p>
    <w:p w:rsidR="00B5135A" w:rsidRDefault="00B5135A" w:rsidP="00D92CC0">
      <w:pPr>
        <w:rPr>
          <w:color w:val="1F4E79" w:themeColor="accent1" w:themeShade="80"/>
          <w:sz w:val="24"/>
          <w:szCs w:val="24"/>
        </w:rPr>
      </w:pPr>
    </w:p>
    <w:p w:rsidR="00D92CC0" w:rsidRDefault="00B5135A" w:rsidP="00D92CC0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COVID-19 Ethical Decision-making Framework:</w:t>
      </w:r>
    </w:p>
    <w:p w:rsidR="00B5135A" w:rsidRPr="00D92CC0" w:rsidRDefault="00B5135A" w:rsidP="00D92CC0">
      <w:pPr>
        <w:rPr>
          <w:color w:val="1F4E79" w:themeColor="accent1" w:themeShade="8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https://www2.gov.bc.ca/assets/gov/health/about-bc-s-health-care-system/office-of-the-provincial-health-officer/covid-19/ethics_framework_for_covid_march_28_2020.pdf</w:t>
        </w:r>
      </w:hyperlink>
    </w:p>
    <w:p w:rsidR="00504E84" w:rsidRPr="00D92CC0" w:rsidRDefault="00504E84" w:rsidP="0032399F">
      <w:pPr>
        <w:rPr>
          <w:color w:val="1F4E79" w:themeColor="accent1" w:themeShade="80"/>
          <w:sz w:val="24"/>
          <w:szCs w:val="24"/>
        </w:rPr>
      </w:pPr>
    </w:p>
    <w:sectPr w:rsidR="00504E84" w:rsidRPr="00D92CC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C0" w:rsidRDefault="00D92CC0" w:rsidP="0032399F">
      <w:pPr>
        <w:spacing w:after="0" w:line="240" w:lineRule="auto"/>
      </w:pPr>
      <w:r>
        <w:separator/>
      </w:r>
    </w:p>
  </w:endnote>
  <w:endnote w:type="continuationSeparator" w:id="0">
    <w:p w:rsidR="00D92CC0" w:rsidRDefault="00D92CC0" w:rsidP="003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0" w:rsidRPr="0032399F" w:rsidRDefault="00D92CC0" w:rsidP="0032399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7C6AF8F" wp14:editId="1C49E881">
          <wp:simplePos x="0" y="0"/>
          <wp:positionH relativeFrom="margin">
            <wp:posOffset>-393700</wp:posOffset>
          </wp:positionH>
          <wp:positionV relativeFrom="paragraph">
            <wp:posOffset>-97155</wp:posOffset>
          </wp:positionV>
          <wp:extent cx="1377950" cy="495300"/>
          <wp:effectExtent l="0" t="0" r="0" b="0"/>
          <wp:wrapTight wrapText="bothSides">
            <wp:wrapPolygon edited="0">
              <wp:start x="0" y="0"/>
              <wp:lineTo x="0" y="20769"/>
              <wp:lineTo x="21202" y="20769"/>
              <wp:lineTo x="212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couver-Coastal-Health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A695189" wp14:editId="1569E936">
          <wp:simplePos x="0" y="0"/>
          <wp:positionH relativeFrom="margin">
            <wp:posOffset>4933950</wp:posOffset>
          </wp:positionH>
          <wp:positionV relativeFrom="paragraph">
            <wp:posOffset>-122555</wp:posOffset>
          </wp:positionV>
          <wp:extent cx="1375410" cy="552450"/>
          <wp:effectExtent l="0" t="0" r="0" b="0"/>
          <wp:wrapTight wrapText="bothSides">
            <wp:wrapPolygon edited="0">
              <wp:start x="0" y="0"/>
              <wp:lineTo x="0" y="20855"/>
              <wp:lineTo x="21241" y="20855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HC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C0" w:rsidRDefault="00D92CC0" w:rsidP="0032399F">
      <w:pPr>
        <w:spacing w:after="0" w:line="240" w:lineRule="auto"/>
      </w:pPr>
      <w:r>
        <w:separator/>
      </w:r>
    </w:p>
  </w:footnote>
  <w:footnote w:type="continuationSeparator" w:id="0">
    <w:p w:rsidR="00D92CC0" w:rsidRDefault="00D92CC0" w:rsidP="0032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C0" w:rsidRPr="003308FB" w:rsidRDefault="00D92CC0" w:rsidP="003308FB">
    <w:pPr>
      <w:pStyle w:val="Header"/>
      <w:tabs>
        <w:tab w:val="left" w:pos="1220"/>
      </w:tabs>
      <w:rPr>
        <w:b/>
        <w:color w:val="2F5496" w:themeColor="accent5" w:themeShade="BF"/>
        <w:sz w:val="28"/>
        <w:szCs w:val="28"/>
      </w:rPr>
    </w:pPr>
    <w:r>
      <w:rPr>
        <w:b/>
        <w:color w:val="2F5496" w:themeColor="accent5" w:themeShade="BF"/>
        <w:sz w:val="28"/>
        <w:szCs w:val="28"/>
      </w:rPr>
      <w:tab/>
    </w:r>
    <w:r>
      <w:rPr>
        <w:b/>
        <w:color w:val="2F5496" w:themeColor="accent5" w:themeShade="BF"/>
        <w:sz w:val="28"/>
        <w:szCs w:val="28"/>
      </w:rPr>
      <w:tab/>
    </w:r>
    <w:r>
      <w:rPr>
        <w:b/>
        <w:color w:val="2F5496" w:themeColor="accent5" w:themeShade="BF"/>
        <w:sz w:val="28"/>
        <w:szCs w:val="28"/>
      </w:rPr>
      <w:tab/>
    </w:r>
    <w:r w:rsidRPr="003308FB">
      <w:rPr>
        <w:b/>
        <w:color w:val="2F5496" w:themeColor="accent5" w:themeShade="BF"/>
        <w:sz w:val="28"/>
        <w:szCs w:val="28"/>
      </w:rPr>
      <w:t>Response Coordination Group (RCG)</w:t>
    </w:r>
  </w:p>
  <w:p w:rsidR="00D92CC0" w:rsidRDefault="00D92CC0" w:rsidP="003308FB">
    <w:pPr>
      <w:pStyle w:val="Header"/>
      <w:jc w:val="right"/>
      <w:rPr>
        <w:b/>
        <w:color w:val="2F5496" w:themeColor="accent5" w:themeShade="BF"/>
        <w:sz w:val="18"/>
        <w:szCs w:val="18"/>
      </w:rPr>
    </w:pPr>
    <w:proofErr w:type="gramStart"/>
    <w:r>
      <w:rPr>
        <w:b/>
        <w:color w:val="2F5496" w:themeColor="accent5" w:themeShade="BF"/>
        <w:sz w:val="18"/>
        <w:szCs w:val="18"/>
      </w:rPr>
      <w:t>f</w:t>
    </w:r>
    <w:r w:rsidRPr="003308FB">
      <w:rPr>
        <w:b/>
        <w:color w:val="2F5496" w:themeColor="accent5" w:themeShade="BF"/>
        <w:sz w:val="18"/>
        <w:szCs w:val="18"/>
      </w:rPr>
      <w:t>or</w:t>
    </w:r>
    <w:proofErr w:type="gramEnd"/>
    <w:r w:rsidRPr="003308FB">
      <w:rPr>
        <w:b/>
        <w:color w:val="2F5496" w:themeColor="accent5" w:themeShade="BF"/>
        <w:sz w:val="18"/>
        <w:szCs w:val="18"/>
      </w:rPr>
      <w:t xml:space="preserve"> COVID-19 Infection Prevention &amp; Control in </w:t>
    </w:r>
  </w:p>
  <w:p w:rsidR="00D92CC0" w:rsidRPr="003308FB" w:rsidRDefault="00D92CC0" w:rsidP="003308FB">
    <w:pPr>
      <w:pStyle w:val="Header"/>
      <w:jc w:val="right"/>
      <w:rPr>
        <w:b/>
        <w:color w:val="2F5496" w:themeColor="accent5" w:themeShade="BF"/>
        <w:sz w:val="18"/>
        <w:szCs w:val="18"/>
      </w:rPr>
    </w:pPr>
    <w:r w:rsidRPr="003308FB">
      <w:rPr>
        <w:b/>
        <w:color w:val="2F5496" w:themeColor="accent5" w:themeShade="BF"/>
        <w:sz w:val="18"/>
        <w:szCs w:val="18"/>
      </w:rPr>
      <w:t>Long-term Care &amp; Assisted Living Facilities</w:t>
    </w:r>
  </w:p>
  <w:p w:rsidR="00D92CC0" w:rsidRDefault="00D92CC0" w:rsidP="003308FB">
    <w:pPr>
      <w:pStyle w:val="Header"/>
      <w:jc w:val="right"/>
      <w:rPr>
        <w:i/>
        <w:color w:val="2F5496" w:themeColor="accent5" w:themeShade="BF"/>
        <w:sz w:val="18"/>
        <w:szCs w:val="18"/>
      </w:rPr>
    </w:pPr>
    <w:r w:rsidRPr="0032399F">
      <w:rPr>
        <w:i/>
        <w:color w:val="2F5496" w:themeColor="accent5" w:themeShade="BF"/>
        <w:sz w:val="18"/>
        <w:szCs w:val="18"/>
      </w:rPr>
      <w:t xml:space="preserve">Rapid Response Team (RRT)  </w:t>
    </w:r>
  </w:p>
  <w:p w:rsidR="00D92CC0" w:rsidRDefault="00D92CC0" w:rsidP="003308FB">
    <w:pPr>
      <w:pStyle w:val="Header"/>
      <w:jc w:val="right"/>
      <w:rPr>
        <w:i/>
        <w:color w:val="2F5496" w:themeColor="accent5" w:themeShade="BF"/>
        <w:sz w:val="18"/>
        <w:szCs w:val="18"/>
      </w:rPr>
    </w:pPr>
    <w:r w:rsidRPr="0032399F">
      <w:rPr>
        <w:i/>
        <w:color w:val="2F5496" w:themeColor="accent5" w:themeShade="BF"/>
        <w:sz w:val="18"/>
        <w:szCs w:val="18"/>
      </w:rPr>
      <w:t xml:space="preserve">Rapid Education &amp; Support Team (REST) </w:t>
    </w:r>
  </w:p>
  <w:p w:rsidR="00D92CC0" w:rsidRPr="0032399F" w:rsidRDefault="00D92CC0" w:rsidP="003308FB">
    <w:pPr>
      <w:pStyle w:val="Header"/>
      <w:jc w:val="right"/>
      <w:rPr>
        <w:i/>
        <w:color w:val="2F5496" w:themeColor="accent5" w:themeShade="BF"/>
        <w:sz w:val="18"/>
        <w:szCs w:val="18"/>
      </w:rPr>
    </w:pPr>
    <w:r w:rsidRPr="0032399F">
      <w:rPr>
        <w:i/>
        <w:color w:val="2F5496" w:themeColor="accent5" w:themeShade="BF"/>
        <w:sz w:val="18"/>
        <w:szCs w:val="18"/>
      </w:rPr>
      <w:t xml:space="preserve"> Interdisciplinary Long-term Care Team (I-LTC)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EAA"/>
    <w:multiLevelType w:val="hybridMultilevel"/>
    <w:tmpl w:val="7E504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A1EF1"/>
    <w:multiLevelType w:val="hybridMultilevel"/>
    <w:tmpl w:val="7A9C2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554E"/>
    <w:multiLevelType w:val="hybridMultilevel"/>
    <w:tmpl w:val="5DCE3554"/>
    <w:lvl w:ilvl="0" w:tplc="8F427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518D5"/>
    <w:multiLevelType w:val="hybridMultilevel"/>
    <w:tmpl w:val="A008D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70C5"/>
    <w:multiLevelType w:val="hybridMultilevel"/>
    <w:tmpl w:val="091A6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263E2"/>
    <w:multiLevelType w:val="hybridMultilevel"/>
    <w:tmpl w:val="2320C978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6806B48"/>
    <w:multiLevelType w:val="hybridMultilevel"/>
    <w:tmpl w:val="16FC11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F58C3"/>
    <w:multiLevelType w:val="hybridMultilevel"/>
    <w:tmpl w:val="DD2457B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735F3"/>
    <w:multiLevelType w:val="hybridMultilevel"/>
    <w:tmpl w:val="AFC8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E0927"/>
    <w:multiLevelType w:val="hybridMultilevel"/>
    <w:tmpl w:val="A87E64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116E8"/>
    <w:multiLevelType w:val="hybridMultilevel"/>
    <w:tmpl w:val="6CFEA7C0"/>
    <w:lvl w:ilvl="0" w:tplc="837C9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44D4E"/>
    <w:multiLevelType w:val="hybridMultilevel"/>
    <w:tmpl w:val="3AC85A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3E20EF"/>
    <w:multiLevelType w:val="hybridMultilevel"/>
    <w:tmpl w:val="A7E0E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7027DC9"/>
    <w:multiLevelType w:val="hybridMultilevel"/>
    <w:tmpl w:val="6B9481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F15C0"/>
    <w:multiLevelType w:val="hybridMultilevel"/>
    <w:tmpl w:val="128CF6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A044C"/>
    <w:multiLevelType w:val="hybridMultilevel"/>
    <w:tmpl w:val="4184DBA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F22BD"/>
    <w:multiLevelType w:val="hybridMultilevel"/>
    <w:tmpl w:val="6B6C6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4CE6"/>
    <w:multiLevelType w:val="hybridMultilevel"/>
    <w:tmpl w:val="84D45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9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F"/>
    <w:rsid w:val="00097513"/>
    <w:rsid w:val="000D6BC2"/>
    <w:rsid w:val="001B3AD0"/>
    <w:rsid w:val="002E6F5C"/>
    <w:rsid w:val="0032399F"/>
    <w:rsid w:val="003308FB"/>
    <w:rsid w:val="00504E84"/>
    <w:rsid w:val="00542EFB"/>
    <w:rsid w:val="00622C80"/>
    <w:rsid w:val="00776612"/>
    <w:rsid w:val="008923CC"/>
    <w:rsid w:val="008A2CCA"/>
    <w:rsid w:val="00A850F4"/>
    <w:rsid w:val="00B5135A"/>
    <w:rsid w:val="00C02FBA"/>
    <w:rsid w:val="00CA3CC3"/>
    <w:rsid w:val="00D92CC0"/>
    <w:rsid w:val="00E068C6"/>
    <w:rsid w:val="00E15E1B"/>
    <w:rsid w:val="00F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CC0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C0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9F"/>
  </w:style>
  <w:style w:type="paragraph" w:styleId="Footer">
    <w:name w:val="footer"/>
    <w:basedOn w:val="Normal"/>
    <w:link w:val="FooterChar"/>
    <w:uiPriority w:val="99"/>
    <w:unhideWhenUsed/>
    <w:rsid w:val="0032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9F"/>
  </w:style>
  <w:style w:type="paragraph" w:styleId="ListParagraph">
    <w:name w:val="List Paragraph"/>
    <w:basedOn w:val="Normal"/>
    <w:uiPriority w:val="34"/>
    <w:qFormat/>
    <w:rsid w:val="00E15E1B"/>
    <w:pPr>
      <w:ind w:left="720"/>
      <w:contextualSpacing/>
    </w:pPr>
  </w:style>
  <w:style w:type="table" w:styleId="TableGrid">
    <w:name w:val="Table Grid"/>
    <w:basedOn w:val="TableNormal"/>
    <w:uiPriority w:val="59"/>
    <w:rsid w:val="00E1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42E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2CC0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CC0"/>
    <w:rPr>
      <w:rFonts w:eastAsiaTheme="minorEastAsia"/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92CC0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92CC0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2CC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CC0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CC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C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CC0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C0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9F"/>
  </w:style>
  <w:style w:type="paragraph" w:styleId="Footer">
    <w:name w:val="footer"/>
    <w:basedOn w:val="Normal"/>
    <w:link w:val="FooterChar"/>
    <w:uiPriority w:val="99"/>
    <w:unhideWhenUsed/>
    <w:rsid w:val="0032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9F"/>
  </w:style>
  <w:style w:type="paragraph" w:styleId="ListParagraph">
    <w:name w:val="List Paragraph"/>
    <w:basedOn w:val="Normal"/>
    <w:uiPriority w:val="34"/>
    <w:qFormat/>
    <w:rsid w:val="00E15E1B"/>
    <w:pPr>
      <w:ind w:left="720"/>
      <w:contextualSpacing/>
    </w:pPr>
  </w:style>
  <w:style w:type="table" w:styleId="TableGrid">
    <w:name w:val="Table Grid"/>
    <w:basedOn w:val="TableNormal"/>
    <w:uiPriority w:val="59"/>
    <w:rsid w:val="00E1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42E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2CC0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CC0"/>
    <w:rPr>
      <w:rFonts w:eastAsiaTheme="minorEastAsia"/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92CC0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92CC0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2CC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CC0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CC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health/about-bc-s-health-care-system/office-of-the-provincial-health-officer/covid-19/ethics_framework_for_covid_march_28_20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ThomasReilly, Greg [PH]</dc:creator>
  <cp:lastModifiedBy>ThomasReilly, Robert [PH]</cp:lastModifiedBy>
  <cp:revision>2</cp:revision>
  <dcterms:created xsi:type="dcterms:W3CDTF">2020-04-09T18:36:00Z</dcterms:created>
  <dcterms:modified xsi:type="dcterms:W3CDTF">2020-04-09T18:36:00Z</dcterms:modified>
</cp:coreProperties>
</file>